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5F" w:rsidRPr="00141D5F" w:rsidRDefault="00141D5F" w:rsidP="00141D5F">
      <w:pPr>
        <w:widowControl/>
        <w:spacing w:line="540" w:lineRule="atLeast"/>
        <w:ind w:left="2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141D5F">
        <w:rPr>
          <w:rFonts w:ascii="宋体" w:eastAsia="宋体" w:hAnsi="宋体" w:cs="Times New Roman" w:hint="eastAsia"/>
          <w:b/>
          <w:bCs/>
          <w:kern w:val="0"/>
          <w:sz w:val="44"/>
          <w:szCs w:val="44"/>
        </w:rPr>
        <w:t>拟批准的食品添加剂新品种金箔</w:t>
      </w:r>
    </w:p>
    <w:p w:rsidR="00141D5F" w:rsidRPr="00141D5F" w:rsidRDefault="00141D5F" w:rsidP="00141D5F">
      <w:pPr>
        <w:widowControl/>
        <w:snapToGrid w:val="0"/>
        <w:spacing w:line="320" w:lineRule="atLeas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141D5F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141D5F" w:rsidRPr="00141D5F" w:rsidRDefault="00141D5F" w:rsidP="00141D5F">
      <w:pPr>
        <w:widowControl/>
        <w:snapToGrid w:val="0"/>
        <w:spacing w:line="320" w:lineRule="atLeas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141D5F">
        <w:rPr>
          <w:rFonts w:ascii="黑体" w:eastAsia="黑体" w:hAnsi="Times New Roman" w:cs="Times New Roman" w:hint="eastAsia"/>
          <w:kern w:val="0"/>
          <w:sz w:val="24"/>
          <w:szCs w:val="24"/>
        </w:rPr>
        <w:t>金箔</w:t>
      </w:r>
    </w:p>
    <w:p w:rsidR="00141D5F" w:rsidRPr="00141D5F" w:rsidRDefault="00141D5F" w:rsidP="00141D5F">
      <w:pPr>
        <w:widowControl/>
        <w:snapToGrid w:val="0"/>
        <w:spacing w:line="320" w:lineRule="atLeas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141D5F">
        <w:rPr>
          <w:rFonts w:ascii="宋体" w:eastAsia="宋体" w:hAnsi="宋体" w:cs="Times New Roman" w:hint="eastAsia"/>
          <w:kern w:val="0"/>
          <w:sz w:val="24"/>
          <w:szCs w:val="24"/>
        </w:rPr>
        <w:t>英文名称：</w:t>
      </w:r>
      <w:r w:rsidRPr="00141D5F">
        <w:rPr>
          <w:rFonts w:ascii="Times New Roman" w:eastAsia="宋体" w:hAnsi="Times New Roman" w:cs="Times New Roman"/>
          <w:kern w:val="0"/>
          <w:sz w:val="24"/>
          <w:szCs w:val="24"/>
        </w:rPr>
        <w:t>Gold</w:t>
      </w:r>
    </w:p>
    <w:p w:rsidR="00141D5F" w:rsidRPr="00141D5F" w:rsidRDefault="00141D5F" w:rsidP="00141D5F">
      <w:pPr>
        <w:widowControl/>
        <w:snapToGrid w:val="0"/>
        <w:spacing w:line="320" w:lineRule="atLeast"/>
        <w:ind w:hanging="1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141D5F">
        <w:rPr>
          <w:rFonts w:ascii="宋体" w:eastAsia="宋体" w:hAnsi="宋体" w:cs="Times New Roman" w:hint="eastAsia"/>
          <w:kern w:val="0"/>
          <w:sz w:val="24"/>
          <w:szCs w:val="24"/>
        </w:rPr>
        <w:t>功能：其他</w:t>
      </w:r>
    </w:p>
    <w:p w:rsidR="00141D5F" w:rsidRPr="00141D5F" w:rsidRDefault="00141D5F" w:rsidP="00141D5F">
      <w:pPr>
        <w:widowControl/>
        <w:snapToGrid w:val="0"/>
        <w:spacing w:line="320" w:lineRule="atLeas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141D5F">
        <w:rPr>
          <w:rFonts w:ascii="黑体" w:eastAsia="黑体" w:hAnsi="Times New Roman" w:cs="Times New Roman" w:hint="eastAsia"/>
          <w:kern w:val="0"/>
          <w:sz w:val="24"/>
          <w:szCs w:val="24"/>
        </w:rPr>
        <w:t>（一）用量及使用范围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56"/>
        <w:gridCol w:w="3045"/>
        <w:gridCol w:w="2367"/>
        <w:gridCol w:w="1348"/>
      </w:tblGrid>
      <w:tr w:rsidR="00141D5F" w:rsidRPr="00141D5F" w:rsidTr="00141D5F">
        <w:trPr>
          <w:trHeight w:val="499"/>
        </w:trPr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D5F" w:rsidRPr="00141D5F" w:rsidRDefault="00141D5F" w:rsidP="00141D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1D5F">
              <w:rPr>
                <w:rFonts w:ascii="黑体" w:eastAsia="黑体" w:hAnsi="Times New Roman" w:cs="Times New Roman" w:hint="eastAsia"/>
                <w:kern w:val="0"/>
                <w:szCs w:val="21"/>
              </w:rPr>
              <w:t>食品分类号</w:t>
            </w:r>
          </w:p>
        </w:tc>
        <w:tc>
          <w:tcPr>
            <w:tcW w:w="3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D5F" w:rsidRPr="00141D5F" w:rsidRDefault="00141D5F" w:rsidP="00141D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1D5F">
              <w:rPr>
                <w:rFonts w:ascii="黑体" w:eastAsia="黑体" w:hAnsi="Times New Roman" w:cs="Times New Roman" w:hint="eastAsia"/>
                <w:kern w:val="0"/>
                <w:szCs w:val="21"/>
              </w:rPr>
              <w:t>食品名称</w:t>
            </w:r>
          </w:p>
        </w:tc>
        <w:tc>
          <w:tcPr>
            <w:tcW w:w="2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D5F" w:rsidRPr="00141D5F" w:rsidRDefault="00141D5F" w:rsidP="00141D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1D5F">
              <w:rPr>
                <w:rFonts w:ascii="黑体" w:eastAsia="黑体" w:hAnsi="Times New Roman" w:cs="Times New Roman" w:hint="eastAsia"/>
                <w:kern w:val="0"/>
                <w:szCs w:val="21"/>
              </w:rPr>
              <w:t>最大使用量(g/kg)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D5F" w:rsidRPr="00141D5F" w:rsidRDefault="00141D5F" w:rsidP="00141D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1D5F">
              <w:rPr>
                <w:rFonts w:ascii="黑体" w:eastAsia="黑体" w:hAnsi="Times New Roman" w:cs="Times New Roman" w:hint="eastAsia"/>
                <w:kern w:val="0"/>
                <w:szCs w:val="21"/>
              </w:rPr>
              <w:t>备 注</w:t>
            </w:r>
          </w:p>
        </w:tc>
      </w:tr>
      <w:tr w:rsidR="00141D5F" w:rsidRPr="00141D5F" w:rsidTr="00141D5F">
        <w:trPr>
          <w:trHeight w:val="368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D5F" w:rsidRPr="00141D5F" w:rsidRDefault="00141D5F" w:rsidP="00141D5F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1D5F">
              <w:rPr>
                <w:rFonts w:ascii="Times New Roman" w:eastAsia="宋体" w:hAnsi="Times New Roman" w:cs="Times New Roman"/>
                <w:kern w:val="0"/>
                <w:szCs w:val="21"/>
              </w:rPr>
              <w:t>15.01.01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D5F" w:rsidRPr="00141D5F" w:rsidRDefault="00141D5F" w:rsidP="00141D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1D5F">
              <w:rPr>
                <w:rFonts w:ascii="宋体" w:eastAsia="宋体" w:hAnsi="宋体" w:cs="Times New Roman" w:hint="eastAsia"/>
                <w:kern w:val="0"/>
                <w:szCs w:val="21"/>
              </w:rPr>
              <w:t>白酒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D5F" w:rsidRPr="00141D5F" w:rsidRDefault="00141D5F" w:rsidP="00141D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1D5F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0.02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D5F" w:rsidRPr="00141D5F" w:rsidRDefault="00141D5F" w:rsidP="00141D5F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1D5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</w:tbl>
    <w:p w:rsidR="00141D5F" w:rsidRPr="00141D5F" w:rsidRDefault="00141D5F" w:rsidP="00141D5F">
      <w:pPr>
        <w:widowControl/>
        <w:snapToGrid w:val="0"/>
        <w:spacing w:line="320" w:lineRule="atLeas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141D5F">
        <w:rPr>
          <w:rFonts w:ascii="黑体" w:eastAsia="黑体" w:hAnsi="Times New Roman" w:cs="Times New Roman" w:hint="eastAsia"/>
          <w:kern w:val="0"/>
          <w:sz w:val="24"/>
          <w:szCs w:val="24"/>
        </w:rPr>
        <w:t>（二）质量规格要求</w:t>
      </w:r>
    </w:p>
    <w:p w:rsidR="00141D5F" w:rsidRPr="00141D5F" w:rsidRDefault="00141D5F" w:rsidP="00141D5F">
      <w:pPr>
        <w:widowControl/>
        <w:snapToGrid w:val="0"/>
        <w:spacing w:line="320" w:lineRule="atLeast"/>
        <w:ind w:hanging="1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141D5F">
        <w:rPr>
          <w:rFonts w:ascii="黑体" w:eastAsia="黑体" w:hAnsi="Times New Roman" w:cs="Times New Roman" w:hint="eastAsia"/>
          <w:kern w:val="0"/>
          <w:sz w:val="24"/>
          <w:szCs w:val="24"/>
        </w:rPr>
        <w:t>1.生产工艺</w:t>
      </w:r>
    </w:p>
    <w:p w:rsidR="00141D5F" w:rsidRPr="00141D5F" w:rsidRDefault="00141D5F" w:rsidP="00141D5F">
      <w:pPr>
        <w:widowControl/>
        <w:snapToGrid w:val="0"/>
        <w:spacing w:line="320" w:lineRule="atLeast"/>
        <w:ind w:firstLine="48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141D5F">
        <w:rPr>
          <w:rFonts w:ascii="宋体" w:eastAsia="宋体" w:hAnsi="宋体" w:cs="Times New Roman" w:hint="eastAsia"/>
          <w:kern w:val="0"/>
          <w:sz w:val="24"/>
          <w:szCs w:val="24"/>
        </w:rPr>
        <w:t>将纯度为99.99%纯金以物理方式将其气化，使其均匀分散成小分子，再将这</w:t>
      </w:r>
      <w:proofErr w:type="gramStart"/>
      <w:r w:rsidRPr="00141D5F">
        <w:rPr>
          <w:rFonts w:ascii="宋体" w:eastAsia="宋体" w:hAnsi="宋体" w:cs="Times New Roman" w:hint="eastAsia"/>
          <w:kern w:val="0"/>
          <w:sz w:val="24"/>
          <w:szCs w:val="24"/>
        </w:rPr>
        <w:t>些小金</w:t>
      </w:r>
      <w:proofErr w:type="gramEnd"/>
      <w:r w:rsidRPr="00141D5F">
        <w:rPr>
          <w:rFonts w:ascii="宋体" w:eastAsia="宋体" w:hAnsi="宋体" w:cs="Times New Roman" w:hint="eastAsia"/>
          <w:kern w:val="0"/>
          <w:sz w:val="24"/>
          <w:szCs w:val="24"/>
        </w:rPr>
        <w:t>分子重新堆栈排列以精准控制分子</w:t>
      </w:r>
      <w:proofErr w:type="gramStart"/>
      <w:r w:rsidRPr="00141D5F">
        <w:rPr>
          <w:rFonts w:ascii="宋体" w:eastAsia="宋体" w:hAnsi="宋体" w:cs="Times New Roman" w:hint="eastAsia"/>
          <w:kern w:val="0"/>
          <w:sz w:val="24"/>
          <w:szCs w:val="24"/>
        </w:rPr>
        <w:t>磊</w:t>
      </w:r>
      <w:proofErr w:type="gramEnd"/>
      <w:r w:rsidRPr="00141D5F">
        <w:rPr>
          <w:rFonts w:ascii="宋体" w:eastAsia="宋体" w:hAnsi="宋体" w:cs="Times New Roman" w:hint="eastAsia"/>
          <w:kern w:val="0"/>
          <w:sz w:val="24"/>
          <w:szCs w:val="24"/>
        </w:rPr>
        <w:t>晶堆栈的方式形成食品添加剂金箔。</w:t>
      </w:r>
    </w:p>
    <w:p w:rsidR="00141D5F" w:rsidRPr="00141D5F" w:rsidRDefault="00141D5F" w:rsidP="00141D5F">
      <w:pPr>
        <w:widowControl/>
        <w:snapToGrid w:val="0"/>
        <w:spacing w:line="320" w:lineRule="atLeast"/>
        <w:ind w:hanging="1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141D5F">
        <w:rPr>
          <w:rFonts w:ascii="黑体" w:eastAsia="黑体" w:hAnsi="Times New Roman" w:cs="Times New Roman" w:hint="eastAsia"/>
          <w:kern w:val="0"/>
          <w:sz w:val="24"/>
          <w:szCs w:val="24"/>
        </w:rPr>
        <w:t>2.技术要求</w:t>
      </w:r>
    </w:p>
    <w:p w:rsidR="00141D5F" w:rsidRPr="00141D5F" w:rsidRDefault="00141D5F" w:rsidP="00141D5F">
      <w:pPr>
        <w:widowControl/>
        <w:spacing w:line="320" w:lineRule="atLeast"/>
        <w:rPr>
          <w:rFonts w:ascii="Times New Roman" w:eastAsia="宋体" w:hAnsi="Times New Roman" w:cs="Times New Roman"/>
          <w:kern w:val="0"/>
          <w:szCs w:val="21"/>
        </w:rPr>
      </w:pPr>
      <w:r w:rsidRPr="00141D5F">
        <w:rPr>
          <w:rFonts w:ascii="黑体" w:eastAsia="黑体" w:hAnsi="Times New Roman" w:cs="Times New Roman" w:hint="eastAsia"/>
          <w:kern w:val="0"/>
          <w:sz w:val="24"/>
          <w:szCs w:val="24"/>
        </w:rPr>
        <w:t>2.1感官要求：</w:t>
      </w:r>
    </w:p>
    <w:p w:rsidR="00141D5F" w:rsidRPr="00141D5F" w:rsidRDefault="00141D5F" w:rsidP="00141D5F">
      <w:pPr>
        <w:widowControl/>
        <w:spacing w:line="320" w:lineRule="atLeast"/>
        <w:ind w:firstLine="480"/>
        <w:rPr>
          <w:rFonts w:ascii="Times New Roman" w:eastAsia="宋体" w:hAnsi="Times New Roman" w:cs="Times New Roman"/>
          <w:kern w:val="0"/>
          <w:szCs w:val="21"/>
        </w:rPr>
      </w:pPr>
      <w:r w:rsidRPr="00141D5F">
        <w:rPr>
          <w:rFonts w:ascii="宋体" w:eastAsia="宋体" w:hAnsi="宋体" w:cs="Times New Roman" w:hint="eastAsia"/>
          <w:kern w:val="0"/>
          <w:sz w:val="24"/>
          <w:szCs w:val="24"/>
        </w:rPr>
        <w:t>应符合表1的规定。</w:t>
      </w:r>
    </w:p>
    <w:p w:rsidR="00141D5F" w:rsidRPr="00141D5F" w:rsidRDefault="00141D5F" w:rsidP="00141D5F">
      <w:pPr>
        <w:widowControl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141D5F">
        <w:rPr>
          <w:rFonts w:ascii="黑体" w:eastAsia="黑体" w:hAnsi="Times New Roman" w:cs="Times New Roman" w:hint="eastAsia"/>
          <w:kern w:val="0"/>
          <w:sz w:val="24"/>
          <w:szCs w:val="24"/>
        </w:rPr>
        <w:t>表1</w:t>
      </w:r>
      <w:r w:rsidRPr="00141D5F">
        <w:rPr>
          <w:rFonts w:ascii="黑体" w:eastAsia="黑体" w:hAnsi="Times New Roman" w:cs="Times New Roman" w:hint="eastAsia"/>
          <w:kern w:val="0"/>
          <w:sz w:val="24"/>
          <w:szCs w:val="24"/>
        </w:rPr>
        <w:t> </w:t>
      </w:r>
      <w:r w:rsidRPr="00141D5F">
        <w:rPr>
          <w:rFonts w:ascii="黑体" w:eastAsia="黑体" w:hAnsi="Times New Roman" w:cs="Times New Roman" w:hint="eastAsia"/>
          <w:kern w:val="0"/>
          <w:sz w:val="24"/>
          <w:szCs w:val="24"/>
        </w:rPr>
        <w:t xml:space="preserve"> 感官要求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40"/>
        <w:gridCol w:w="2841"/>
        <w:gridCol w:w="2841"/>
      </w:tblGrid>
      <w:tr w:rsidR="00141D5F" w:rsidRPr="00141D5F" w:rsidTr="00141D5F"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D5F" w:rsidRPr="00141D5F" w:rsidRDefault="00141D5F" w:rsidP="00141D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1D5F">
              <w:rPr>
                <w:rFonts w:ascii="黑体" w:eastAsia="黑体" w:hAnsi="Times New Roman" w:cs="Times New Roman" w:hint="eastAsia"/>
                <w:kern w:val="0"/>
                <w:szCs w:val="21"/>
              </w:rPr>
              <w:t>项</w:t>
            </w:r>
            <w:r w:rsidRPr="00141D5F">
              <w:rPr>
                <w:rFonts w:ascii="黑体" w:eastAsia="黑体" w:hAnsi="Times New Roman" w:cs="Times New Roman" w:hint="eastAsia"/>
                <w:kern w:val="0"/>
                <w:szCs w:val="21"/>
              </w:rPr>
              <w:t> </w:t>
            </w:r>
            <w:r w:rsidRPr="00141D5F">
              <w:rPr>
                <w:rFonts w:ascii="黑体" w:eastAsia="黑体" w:hAnsi="Times New Roman" w:cs="Times New Roman" w:hint="eastAsia"/>
                <w:kern w:val="0"/>
                <w:szCs w:val="21"/>
              </w:rPr>
              <w:t xml:space="preserve"> 目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D5F" w:rsidRPr="00141D5F" w:rsidRDefault="00141D5F" w:rsidP="00141D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1D5F">
              <w:rPr>
                <w:rFonts w:ascii="黑体" w:eastAsia="黑体" w:hAnsi="Times New Roman" w:cs="Times New Roman" w:hint="eastAsia"/>
                <w:kern w:val="0"/>
                <w:szCs w:val="21"/>
              </w:rPr>
              <w:t>要</w:t>
            </w:r>
            <w:r w:rsidRPr="00141D5F">
              <w:rPr>
                <w:rFonts w:ascii="黑体" w:eastAsia="黑体" w:hAnsi="Times New Roman" w:cs="Times New Roman" w:hint="eastAsia"/>
                <w:kern w:val="0"/>
                <w:szCs w:val="21"/>
              </w:rPr>
              <w:t> </w:t>
            </w:r>
            <w:r w:rsidRPr="00141D5F">
              <w:rPr>
                <w:rFonts w:ascii="黑体" w:eastAsia="黑体" w:hAnsi="Times New Roman" w:cs="Times New Roman" w:hint="eastAsia"/>
                <w:kern w:val="0"/>
                <w:szCs w:val="21"/>
              </w:rPr>
              <w:t xml:space="preserve"> 求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D5F" w:rsidRPr="00141D5F" w:rsidRDefault="00141D5F" w:rsidP="00141D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1D5F">
              <w:rPr>
                <w:rFonts w:ascii="黑体" w:eastAsia="黑体" w:hAnsi="Times New Roman" w:cs="Times New Roman" w:hint="eastAsia"/>
                <w:kern w:val="0"/>
                <w:szCs w:val="21"/>
              </w:rPr>
              <w:t>检 验 方 法</w:t>
            </w:r>
          </w:p>
        </w:tc>
      </w:tr>
      <w:tr w:rsidR="00141D5F" w:rsidRPr="00141D5F" w:rsidTr="00141D5F">
        <w:trPr>
          <w:trHeight w:val="157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D5F" w:rsidRPr="00141D5F" w:rsidRDefault="00141D5F" w:rsidP="00141D5F">
            <w:pPr>
              <w:widowControl/>
              <w:spacing w:line="157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1D5F">
              <w:rPr>
                <w:rFonts w:ascii="宋体" w:eastAsia="宋体" w:hAnsi="宋体" w:cs="Times New Roman" w:hint="eastAsia"/>
                <w:kern w:val="0"/>
                <w:szCs w:val="21"/>
              </w:rPr>
              <w:t>色泽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D5F" w:rsidRPr="00141D5F" w:rsidRDefault="00141D5F" w:rsidP="00141D5F">
            <w:pPr>
              <w:widowControl/>
              <w:spacing w:line="157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1D5F">
              <w:rPr>
                <w:rFonts w:ascii="宋体" w:eastAsia="宋体" w:hAnsi="宋体" w:cs="Times New Roman" w:hint="eastAsia"/>
                <w:kern w:val="0"/>
                <w:szCs w:val="21"/>
              </w:rPr>
              <w:t>金色</w:t>
            </w:r>
          </w:p>
        </w:tc>
        <w:tc>
          <w:tcPr>
            <w:tcW w:w="28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D5F" w:rsidRPr="00141D5F" w:rsidRDefault="00141D5F" w:rsidP="00141D5F">
            <w:pPr>
              <w:widowControl/>
              <w:spacing w:line="157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1D5F">
              <w:rPr>
                <w:rFonts w:ascii="宋体" w:eastAsia="宋体" w:hAnsi="宋体" w:cs="Times New Roman" w:hint="eastAsia"/>
                <w:kern w:val="0"/>
                <w:szCs w:val="21"/>
              </w:rPr>
              <w:t>取包装完整的样品一袋，取出内容物于洁净的玻璃器皿中，在自然光下，观察其色泽和性状。</w:t>
            </w:r>
          </w:p>
        </w:tc>
      </w:tr>
      <w:tr w:rsidR="00141D5F" w:rsidRPr="00141D5F" w:rsidTr="00141D5F"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D5F" w:rsidRPr="00141D5F" w:rsidRDefault="00141D5F" w:rsidP="00141D5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1D5F">
              <w:rPr>
                <w:rFonts w:ascii="宋体" w:eastAsia="宋体" w:hAnsi="宋体" w:cs="Times New Roman" w:hint="eastAsia"/>
                <w:kern w:val="0"/>
                <w:szCs w:val="21"/>
              </w:rPr>
              <w:t>状态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D5F" w:rsidRPr="00141D5F" w:rsidRDefault="00141D5F" w:rsidP="00141D5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1D5F">
              <w:rPr>
                <w:rFonts w:ascii="宋体" w:eastAsia="宋体" w:hAnsi="宋体" w:cs="Times New Roman" w:hint="eastAsia"/>
                <w:kern w:val="0"/>
                <w:szCs w:val="21"/>
              </w:rPr>
              <w:t>粉末或微小薄片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1D5F" w:rsidRPr="00141D5F" w:rsidRDefault="00141D5F" w:rsidP="00141D5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:rsidR="00141D5F" w:rsidRPr="00141D5F" w:rsidRDefault="00141D5F" w:rsidP="00141D5F">
      <w:pPr>
        <w:widowControl/>
        <w:rPr>
          <w:rFonts w:ascii="Times New Roman" w:eastAsia="宋体" w:hAnsi="Times New Roman" w:cs="Times New Roman"/>
          <w:kern w:val="0"/>
          <w:szCs w:val="21"/>
        </w:rPr>
      </w:pPr>
      <w:r w:rsidRPr="00141D5F">
        <w:rPr>
          <w:rFonts w:ascii="黑体" w:eastAsia="黑体" w:hAnsi="Times New Roman" w:cs="Times New Roman" w:hint="eastAsia"/>
          <w:kern w:val="0"/>
          <w:sz w:val="24"/>
          <w:szCs w:val="24"/>
        </w:rPr>
        <w:t>2.2技术要求：</w:t>
      </w:r>
    </w:p>
    <w:p w:rsidR="00141D5F" w:rsidRPr="00141D5F" w:rsidRDefault="00141D5F" w:rsidP="00141D5F">
      <w:pPr>
        <w:widowControl/>
        <w:ind w:firstLine="480"/>
        <w:rPr>
          <w:rFonts w:ascii="Times New Roman" w:eastAsia="宋体" w:hAnsi="Times New Roman" w:cs="Times New Roman"/>
          <w:kern w:val="0"/>
          <w:szCs w:val="21"/>
        </w:rPr>
      </w:pPr>
      <w:r w:rsidRPr="00141D5F">
        <w:rPr>
          <w:rFonts w:ascii="宋体" w:eastAsia="宋体" w:hAnsi="宋体" w:cs="Times New Roman" w:hint="eastAsia"/>
          <w:kern w:val="0"/>
          <w:sz w:val="24"/>
          <w:szCs w:val="24"/>
        </w:rPr>
        <w:t>应符合表2的规定。</w:t>
      </w:r>
    </w:p>
    <w:p w:rsidR="00141D5F" w:rsidRPr="00141D5F" w:rsidRDefault="00141D5F" w:rsidP="00141D5F">
      <w:pPr>
        <w:widowControl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141D5F">
        <w:rPr>
          <w:rFonts w:ascii="黑体" w:eastAsia="黑体" w:hAnsi="Times New Roman" w:cs="Times New Roman" w:hint="eastAsia"/>
          <w:kern w:val="0"/>
          <w:sz w:val="24"/>
          <w:szCs w:val="24"/>
        </w:rPr>
        <w:t>表2</w:t>
      </w:r>
      <w:r w:rsidRPr="00141D5F">
        <w:rPr>
          <w:rFonts w:ascii="黑体" w:eastAsia="黑体" w:hAnsi="Times New Roman" w:cs="Times New Roman" w:hint="eastAsia"/>
          <w:kern w:val="0"/>
          <w:sz w:val="24"/>
          <w:szCs w:val="24"/>
        </w:rPr>
        <w:t> </w:t>
      </w:r>
      <w:r w:rsidRPr="00141D5F">
        <w:rPr>
          <w:rFonts w:ascii="黑体" w:eastAsia="黑体" w:hAnsi="Times New Roman" w:cs="Times New Roman" w:hint="eastAsia"/>
          <w:kern w:val="0"/>
          <w:sz w:val="24"/>
          <w:szCs w:val="24"/>
        </w:rPr>
        <w:t xml:space="preserve"> 理化指标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24"/>
        <w:gridCol w:w="426"/>
        <w:gridCol w:w="2836"/>
        <w:gridCol w:w="2836"/>
      </w:tblGrid>
      <w:tr w:rsidR="00141D5F" w:rsidRPr="00141D5F" w:rsidTr="00141D5F">
        <w:tc>
          <w:tcPr>
            <w:tcW w:w="2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D5F" w:rsidRPr="00141D5F" w:rsidRDefault="00141D5F" w:rsidP="00141D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1D5F">
              <w:rPr>
                <w:rFonts w:ascii="黑体" w:eastAsia="黑体" w:hAnsi="Times New Roman" w:cs="Times New Roman" w:hint="eastAsia"/>
                <w:kern w:val="0"/>
                <w:szCs w:val="21"/>
              </w:rPr>
              <w:t>项</w:t>
            </w:r>
            <w:r w:rsidRPr="00141D5F">
              <w:rPr>
                <w:rFonts w:ascii="黑体" w:eastAsia="黑体" w:hAnsi="Times New Roman" w:cs="Times New Roman" w:hint="eastAsia"/>
                <w:kern w:val="0"/>
                <w:szCs w:val="21"/>
              </w:rPr>
              <w:t> </w:t>
            </w:r>
            <w:r w:rsidRPr="00141D5F">
              <w:rPr>
                <w:rFonts w:ascii="黑体" w:eastAsia="黑体" w:hAnsi="Times New Roman" w:cs="Times New Roman" w:hint="eastAsia"/>
                <w:kern w:val="0"/>
                <w:szCs w:val="21"/>
              </w:rPr>
              <w:t xml:space="preserve"> 目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D5F" w:rsidRPr="00141D5F" w:rsidRDefault="00141D5F" w:rsidP="00141D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1D5F">
              <w:rPr>
                <w:rFonts w:ascii="黑体" w:eastAsia="黑体" w:hAnsi="Times New Roman" w:cs="Times New Roman" w:hint="eastAsia"/>
                <w:kern w:val="0"/>
                <w:szCs w:val="21"/>
              </w:rPr>
              <w:t>指</w:t>
            </w:r>
            <w:r w:rsidRPr="00141D5F">
              <w:rPr>
                <w:rFonts w:ascii="黑体" w:eastAsia="黑体" w:hAnsi="Times New Roman" w:cs="Times New Roman" w:hint="eastAsia"/>
                <w:kern w:val="0"/>
                <w:szCs w:val="21"/>
              </w:rPr>
              <w:t> </w:t>
            </w:r>
            <w:r w:rsidRPr="00141D5F">
              <w:rPr>
                <w:rFonts w:ascii="黑体" w:eastAsia="黑体" w:hAnsi="Times New Roman" w:cs="Times New Roman" w:hint="eastAsia"/>
                <w:kern w:val="0"/>
                <w:szCs w:val="21"/>
              </w:rPr>
              <w:t xml:space="preserve"> 标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D5F" w:rsidRPr="00141D5F" w:rsidRDefault="00141D5F" w:rsidP="00141D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1D5F">
              <w:rPr>
                <w:rFonts w:ascii="黑体" w:eastAsia="黑体" w:hAnsi="Times New Roman" w:cs="Times New Roman" w:hint="eastAsia"/>
                <w:kern w:val="0"/>
                <w:szCs w:val="21"/>
              </w:rPr>
              <w:t>检 验 方 法</w:t>
            </w:r>
          </w:p>
        </w:tc>
      </w:tr>
      <w:tr w:rsidR="00141D5F" w:rsidRPr="00141D5F" w:rsidTr="00141D5F"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D5F" w:rsidRPr="00141D5F" w:rsidRDefault="00141D5F" w:rsidP="00141D5F">
            <w:pPr>
              <w:widowControl/>
              <w:ind w:firstLine="8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1D5F">
              <w:rPr>
                <w:rFonts w:ascii="宋体" w:eastAsia="宋体" w:hAnsi="宋体" w:cs="Times New Roman" w:hint="eastAsia"/>
                <w:kern w:val="0"/>
                <w:szCs w:val="21"/>
              </w:rPr>
              <w:t>金，（</w:t>
            </w:r>
            <w:r w:rsidRPr="00141D5F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w</w:t>
            </w:r>
            <w:r w:rsidRPr="00141D5F">
              <w:rPr>
                <w:rFonts w:ascii="宋体" w:eastAsia="宋体" w:hAnsi="宋体" w:cs="Times New Roman" w:hint="eastAsia"/>
                <w:kern w:val="0"/>
                <w:szCs w:val="21"/>
              </w:rPr>
              <w:t>）</w:t>
            </w:r>
            <w:r w:rsidRPr="00141D5F">
              <w:rPr>
                <w:rFonts w:ascii="Times New Roman" w:eastAsia="宋体" w:hAnsi="Times New Roman" w:cs="Times New Roman"/>
                <w:kern w:val="0"/>
                <w:szCs w:val="21"/>
              </w:rPr>
              <w:t>/%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1D5F" w:rsidRPr="00141D5F" w:rsidRDefault="00141D5F" w:rsidP="00141D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1D5F">
              <w:rPr>
                <w:rFonts w:ascii="宋体" w:eastAsia="宋体" w:hAnsi="宋体" w:cs="Times New Roman" w:hint="eastAsia"/>
                <w:kern w:val="0"/>
                <w:szCs w:val="21"/>
              </w:rPr>
              <w:t>≥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D5F" w:rsidRPr="00141D5F" w:rsidRDefault="00141D5F" w:rsidP="00141D5F">
            <w:pPr>
              <w:widowControl/>
              <w:ind w:firstLine="8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1D5F">
              <w:rPr>
                <w:rFonts w:ascii="Times New Roman" w:eastAsia="宋体" w:hAnsi="Times New Roman" w:cs="Times New Roman"/>
                <w:kern w:val="0"/>
                <w:szCs w:val="21"/>
              </w:rPr>
              <w:t>           90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D5F" w:rsidRPr="00141D5F" w:rsidRDefault="00141D5F" w:rsidP="00141D5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1D5F">
              <w:rPr>
                <w:rFonts w:ascii="宋体" w:eastAsia="宋体" w:hAnsi="宋体" w:cs="Times New Roman" w:hint="eastAsia"/>
                <w:kern w:val="0"/>
                <w:szCs w:val="21"/>
              </w:rPr>
              <w:t>GB/T 15337-2008</w:t>
            </w:r>
          </w:p>
        </w:tc>
      </w:tr>
      <w:tr w:rsidR="00141D5F" w:rsidRPr="00141D5F" w:rsidTr="00141D5F"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D5F" w:rsidRPr="00141D5F" w:rsidRDefault="00141D5F" w:rsidP="00141D5F">
            <w:pPr>
              <w:widowControl/>
              <w:ind w:firstLine="8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1D5F">
              <w:rPr>
                <w:rFonts w:ascii="宋体" w:eastAsia="宋体" w:hAnsi="宋体" w:cs="Times New Roman" w:hint="eastAsia"/>
                <w:kern w:val="0"/>
                <w:szCs w:val="21"/>
              </w:rPr>
              <w:t>银，（</w:t>
            </w:r>
            <w:r w:rsidRPr="00141D5F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w</w:t>
            </w:r>
            <w:r w:rsidRPr="00141D5F">
              <w:rPr>
                <w:rFonts w:ascii="宋体" w:eastAsia="宋体" w:hAnsi="宋体" w:cs="Times New Roman" w:hint="eastAsia"/>
                <w:kern w:val="0"/>
                <w:szCs w:val="21"/>
              </w:rPr>
              <w:t>）</w:t>
            </w:r>
            <w:r w:rsidRPr="00141D5F">
              <w:rPr>
                <w:rFonts w:ascii="Times New Roman" w:eastAsia="宋体" w:hAnsi="Times New Roman" w:cs="Times New Roman"/>
                <w:kern w:val="0"/>
                <w:szCs w:val="21"/>
              </w:rPr>
              <w:t>/%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1D5F" w:rsidRPr="00141D5F" w:rsidRDefault="00141D5F" w:rsidP="00141D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1D5F">
              <w:rPr>
                <w:rFonts w:ascii="宋体" w:eastAsia="宋体" w:hAnsi="宋体" w:cs="Times New Roman" w:hint="eastAsia"/>
                <w:kern w:val="0"/>
                <w:szCs w:val="21"/>
              </w:rPr>
              <w:t>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D5F" w:rsidRPr="00141D5F" w:rsidRDefault="00141D5F" w:rsidP="00141D5F">
            <w:pPr>
              <w:widowControl/>
              <w:ind w:firstLine="8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1D5F">
              <w:rPr>
                <w:rFonts w:ascii="Times New Roman" w:eastAsia="宋体" w:hAnsi="Times New Roman" w:cs="Times New Roman"/>
                <w:kern w:val="0"/>
                <w:szCs w:val="21"/>
              </w:rPr>
              <w:t>7.0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D5F" w:rsidRPr="00141D5F" w:rsidRDefault="00141D5F" w:rsidP="00141D5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1D5F">
              <w:rPr>
                <w:rFonts w:ascii="宋体" w:eastAsia="宋体" w:hAnsi="宋体" w:cs="Times New Roman" w:hint="eastAsia"/>
                <w:kern w:val="0"/>
                <w:szCs w:val="21"/>
              </w:rPr>
              <w:t>GB/T 15337-2008</w:t>
            </w:r>
          </w:p>
        </w:tc>
      </w:tr>
      <w:tr w:rsidR="00141D5F" w:rsidRPr="00141D5F" w:rsidTr="00141D5F"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D5F" w:rsidRPr="00141D5F" w:rsidRDefault="00141D5F" w:rsidP="00141D5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1D5F">
              <w:rPr>
                <w:rFonts w:ascii="宋体" w:eastAsia="宋体" w:hAnsi="宋体" w:cs="Times New Roman" w:hint="eastAsia"/>
                <w:kern w:val="0"/>
                <w:szCs w:val="21"/>
              </w:rPr>
              <w:t>铜，（</w:t>
            </w:r>
            <w:r w:rsidRPr="00141D5F">
              <w:rPr>
                <w:rFonts w:ascii="Times New Roman" w:eastAsia="宋体" w:hAnsi="Times New Roman" w:cs="Times New Roman"/>
                <w:i/>
                <w:iCs/>
                <w:kern w:val="0"/>
                <w:szCs w:val="21"/>
              </w:rPr>
              <w:t>w</w:t>
            </w:r>
            <w:r w:rsidRPr="00141D5F">
              <w:rPr>
                <w:rFonts w:ascii="宋体" w:eastAsia="宋体" w:hAnsi="宋体" w:cs="Times New Roman" w:hint="eastAsia"/>
                <w:kern w:val="0"/>
                <w:szCs w:val="21"/>
              </w:rPr>
              <w:t>）</w:t>
            </w:r>
            <w:r w:rsidRPr="00141D5F">
              <w:rPr>
                <w:rFonts w:ascii="Times New Roman" w:eastAsia="宋体" w:hAnsi="Times New Roman" w:cs="Times New Roman"/>
                <w:kern w:val="0"/>
                <w:szCs w:val="21"/>
              </w:rPr>
              <w:t>/%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1D5F" w:rsidRPr="00141D5F" w:rsidRDefault="00141D5F" w:rsidP="00141D5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1D5F">
              <w:rPr>
                <w:rFonts w:ascii="宋体" w:eastAsia="宋体" w:hAnsi="宋体" w:cs="Times New Roman" w:hint="eastAsia"/>
                <w:kern w:val="0"/>
                <w:szCs w:val="21"/>
              </w:rPr>
              <w:t>≤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D5F" w:rsidRPr="00141D5F" w:rsidRDefault="00141D5F" w:rsidP="00141D5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1D5F">
              <w:rPr>
                <w:rFonts w:ascii="Times New Roman" w:eastAsia="宋体" w:hAnsi="Times New Roman" w:cs="Times New Roman"/>
                <w:kern w:val="0"/>
                <w:szCs w:val="21"/>
              </w:rPr>
              <w:t>4.0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D5F" w:rsidRPr="00141D5F" w:rsidRDefault="00141D5F" w:rsidP="00141D5F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41D5F">
              <w:rPr>
                <w:rFonts w:ascii="宋体" w:eastAsia="宋体" w:hAnsi="宋体" w:cs="Times New Roman" w:hint="eastAsia"/>
                <w:kern w:val="0"/>
                <w:szCs w:val="21"/>
              </w:rPr>
              <w:t>GB/T 15337-2008</w:t>
            </w:r>
          </w:p>
        </w:tc>
      </w:tr>
    </w:tbl>
    <w:p w:rsidR="00141D5F" w:rsidRPr="00141D5F" w:rsidRDefault="00141D5F" w:rsidP="00141D5F">
      <w:pPr>
        <w:widowControl/>
        <w:rPr>
          <w:rFonts w:ascii="Times New Roman" w:eastAsia="宋体" w:hAnsi="Times New Roman" w:cs="Times New Roman"/>
          <w:kern w:val="0"/>
          <w:szCs w:val="21"/>
        </w:rPr>
      </w:pPr>
      <w:r w:rsidRPr="00141D5F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142562" w:rsidRPr="00141D5F" w:rsidRDefault="007A65B2"/>
    <w:sectPr w:rsidR="00142562" w:rsidRPr="00141D5F" w:rsidSect="00EB0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5B2" w:rsidRDefault="007A65B2" w:rsidP="00141D5F">
      <w:r>
        <w:separator/>
      </w:r>
    </w:p>
  </w:endnote>
  <w:endnote w:type="continuationSeparator" w:id="0">
    <w:p w:rsidR="007A65B2" w:rsidRDefault="007A65B2" w:rsidP="00141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5B2" w:rsidRDefault="007A65B2" w:rsidP="00141D5F">
      <w:r>
        <w:separator/>
      </w:r>
    </w:p>
  </w:footnote>
  <w:footnote w:type="continuationSeparator" w:id="0">
    <w:p w:rsidR="007A65B2" w:rsidRDefault="007A65B2" w:rsidP="00141D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D5F"/>
    <w:rsid w:val="00141D5F"/>
    <w:rsid w:val="00250A60"/>
    <w:rsid w:val="0031695A"/>
    <w:rsid w:val="007A65B2"/>
    <w:rsid w:val="00BB109E"/>
    <w:rsid w:val="00CE30C1"/>
    <w:rsid w:val="00EB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1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1D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1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1D5F"/>
    <w:rPr>
      <w:sz w:val="18"/>
      <w:szCs w:val="18"/>
    </w:rPr>
  </w:style>
  <w:style w:type="paragraph" w:styleId="a5">
    <w:name w:val="Normal (Web)"/>
    <w:basedOn w:val="a"/>
    <w:uiPriority w:val="99"/>
    <w:unhideWhenUsed/>
    <w:rsid w:val="00141D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5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73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71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1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24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34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2015-01-28T08:25:00Z</dcterms:created>
  <dcterms:modified xsi:type="dcterms:W3CDTF">2015-01-28T08:26:00Z</dcterms:modified>
</cp:coreProperties>
</file>